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D2AF6" w14:textId="77777777" w:rsidR="00CB401E" w:rsidRDefault="00CB401E" w:rsidP="005A58A8">
      <w:pPr>
        <w:pStyle w:val="BodyText"/>
        <w:spacing w:before="102" w:line="232" w:lineRule="auto"/>
        <w:ind w:left="305" w:right="325"/>
        <w:jc w:val="center"/>
        <w:rPr>
          <w:color w:val="F5A800"/>
        </w:rPr>
      </w:pPr>
      <w:bookmarkStart w:id="0" w:name="_GoBack"/>
      <w:bookmarkEnd w:id="0"/>
    </w:p>
    <w:p w14:paraId="4E3A872E" w14:textId="31355290" w:rsidR="005A58A8" w:rsidRDefault="005A58A8" w:rsidP="005A58A8">
      <w:pPr>
        <w:pStyle w:val="BodyText"/>
        <w:spacing w:before="102" w:line="232" w:lineRule="auto"/>
        <w:ind w:left="305" w:right="325"/>
        <w:jc w:val="center"/>
        <w:rPr>
          <w:color w:val="F5A800"/>
        </w:rPr>
      </w:pPr>
      <w:r>
        <w:rPr>
          <w:color w:val="F5A800"/>
        </w:rPr>
        <w:t>ATHLETES FOR HOPE</w:t>
      </w:r>
    </w:p>
    <w:p w14:paraId="3660DA56" w14:textId="554C3756" w:rsidR="00FF5402" w:rsidRPr="005A58A8" w:rsidRDefault="00034805" w:rsidP="005A58A8">
      <w:pPr>
        <w:pStyle w:val="BodyText"/>
        <w:spacing w:before="102" w:line="232" w:lineRule="auto"/>
        <w:ind w:left="305" w:right="325"/>
        <w:jc w:val="center"/>
        <w:rPr>
          <w:color w:val="F5A800"/>
        </w:rPr>
      </w:pPr>
      <w:r>
        <w:rPr>
          <w:color w:val="F5A800"/>
        </w:rPr>
        <w:t>Key Qualities of Effective Movements</w:t>
      </w:r>
    </w:p>
    <w:p w14:paraId="3CA4DAED" w14:textId="77777777" w:rsidR="00FF5402" w:rsidRDefault="001A616B">
      <w:pPr>
        <w:spacing w:before="2"/>
        <w:rPr>
          <w:b/>
          <w:sz w:val="12"/>
        </w:rPr>
      </w:pPr>
      <w:r>
        <w:rPr>
          <w:noProof/>
          <w:lang w:bidi="ar-SA"/>
        </w:rPr>
        <mc:AlternateContent>
          <mc:Choice Requires="wps">
            <w:drawing>
              <wp:anchor distT="0" distB="0" distL="0" distR="0" simplePos="0" relativeHeight="251657728" behindDoc="1" locked="0" layoutInCell="1" allowOverlap="1" wp14:anchorId="64FB002F" wp14:editId="0C42FB65">
                <wp:simplePos x="0" y="0"/>
                <wp:positionH relativeFrom="page">
                  <wp:posOffset>3660140</wp:posOffset>
                </wp:positionH>
                <wp:positionV relativeFrom="paragraph">
                  <wp:posOffset>137795</wp:posOffset>
                </wp:positionV>
                <wp:extent cx="43942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0"/>
                        </a:xfrm>
                        <a:prstGeom prst="line">
                          <a:avLst/>
                        </a:prstGeom>
                        <a:noFill/>
                        <a:ln w="35190">
                          <a:solidFill>
                            <a:srgbClr val="F5A8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95153"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2pt,10.85pt" to="322.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" strokecolor="#f5a800" strokeweight=".9775mm">
                <w10:wrap type="topAndBottom" anchorx="page"/>
              </v:line>
            </w:pict>
          </mc:Fallback>
        </mc:AlternateContent>
      </w:r>
    </w:p>
    <w:p w14:paraId="7D30EC79" w14:textId="0295C2A0" w:rsidR="00F361FE" w:rsidRDefault="00F27DDB" w:rsidP="00F361FE">
      <w:pPr>
        <w:spacing w:before="155"/>
        <w:ind w:left="3476" w:right="3494"/>
        <w:jc w:val="center"/>
        <w:rPr>
          <w:color w:val="F5A800"/>
          <w:sz w:val="30"/>
        </w:rPr>
      </w:pPr>
      <w:r>
        <w:rPr>
          <w:color w:val="F5A800"/>
          <w:sz w:val="30"/>
        </w:rPr>
        <w:t xml:space="preserve">Action Plan </w:t>
      </w:r>
      <w:r w:rsidR="00093828">
        <w:rPr>
          <w:color w:val="F5A800"/>
          <w:sz w:val="30"/>
        </w:rPr>
        <w:t>Template</w:t>
      </w:r>
    </w:p>
    <w:p w14:paraId="0E233B86" w14:textId="77777777" w:rsidR="00F361FE" w:rsidRDefault="00F361FE" w:rsidP="00F361FE">
      <w:pPr>
        <w:widowControl/>
        <w:shd w:val="clear" w:color="auto" w:fill="FFFFFF"/>
        <w:autoSpaceDE/>
        <w:autoSpaceDN/>
        <w:rPr>
          <w:rFonts w:eastAsia="Times New Roman" w:cs="Calibri"/>
          <w:b/>
          <w:bCs/>
          <w:color w:val="000000"/>
          <w:sz w:val="24"/>
          <w:szCs w:val="24"/>
          <w:lang w:bidi="ar-SA"/>
        </w:rPr>
      </w:pPr>
    </w:p>
    <w:p w14:paraId="0C5D11A1" w14:textId="77FF903D" w:rsidR="00D97306" w:rsidRPr="00F361FE" w:rsidRDefault="00D97306" w:rsidP="00F361FE">
      <w:pPr>
        <w:widowControl/>
        <w:shd w:val="clear" w:color="auto" w:fill="FFFFFF"/>
        <w:autoSpaceDE/>
        <w:autoSpaceDN/>
        <w:rPr>
          <w:rFonts w:eastAsia="Times New Roman" w:cs="Segoe UI"/>
          <w:color w:val="212121"/>
          <w:sz w:val="24"/>
          <w:szCs w:val="24"/>
          <w:lang w:bidi="ar-SA"/>
        </w:rPr>
      </w:pPr>
      <w:r w:rsidRPr="00F361FE">
        <w:rPr>
          <w:rFonts w:eastAsia="Times New Roman" w:cs="Calibri"/>
          <w:b/>
          <w:bCs/>
          <w:color w:val="000000"/>
          <w:sz w:val="24"/>
          <w:szCs w:val="24"/>
          <w:lang w:bidi="ar-SA"/>
        </w:rPr>
        <w:t>Key Qualities of Effective Movements </w:t>
      </w:r>
    </w:p>
    <w:p w14:paraId="4F4838DA" w14:textId="28B7029B" w:rsidR="00F361FE" w:rsidRPr="00F361FE" w:rsidRDefault="00D97306" w:rsidP="00F361FE">
      <w:pPr>
        <w:widowControl/>
        <w:numPr>
          <w:ilvl w:val="0"/>
          <w:numId w:val="1"/>
        </w:numPr>
        <w:shd w:val="clear" w:color="auto" w:fill="FFFFFF"/>
        <w:autoSpaceDE/>
        <w:autoSpaceDN/>
        <w:spacing w:before="100" w:beforeAutospacing="1" w:after="100" w:afterAutospacing="1"/>
        <w:rPr>
          <w:rFonts w:eastAsia="Times New Roman" w:cs="Segoe UI"/>
          <w:color w:val="212121"/>
          <w:sz w:val="24"/>
          <w:szCs w:val="24"/>
          <w:lang w:bidi="ar-SA"/>
        </w:rPr>
      </w:pPr>
      <w:r w:rsidRPr="00F361FE">
        <w:rPr>
          <w:rFonts w:eastAsia="Times New Roman" w:cs="Calibri"/>
          <w:b/>
          <w:bCs/>
          <w:color w:val="000000"/>
          <w:sz w:val="24"/>
          <w:szCs w:val="24"/>
          <w:lang w:bidi="ar-SA"/>
        </w:rPr>
        <w:t>Vision and Frame:</w:t>
      </w:r>
      <w:r w:rsidRPr="00F361FE">
        <w:rPr>
          <w:rFonts w:eastAsia="Times New Roman" w:cs="Calibri"/>
          <w:color w:val="000000"/>
          <w:sz w:val="24"/>
          <w:szCs w:val="24"/>
          <w:lang w:bidi="ar-SA"/>
        </w:rPr>
        <w:t> Vision sets the goal</w:t>
      </w:r>
      <w:r w:rsidR="00CB401E" w:rsidRPr="00F361FE">
        <w:rPr>
          <w:rFonts w:eastAsia="Times New Roman" w:cs="Calibri"/>
          <w:color w:val="000000"/>
          <w:sz w:val="24"/>
          <w:szCs w:val="24"/>
          <w:lang w:bidi="ar-SA"/>
        </w:rPr>
        <w:t xml:space="preserve"> while </w:t>
      </w:r>
      <w:r w:rsidR="00943E17">
        <w:rPr>
          <w:rFonts w:eastAsia="Times New Roman" w:cs="Calibri"/>
          <w:color w:val="000000"/>
          <w:sz w:val="24"/>
          <w:szCs w:val="24"/>
          <w:lang w:bidi="ar-SA"/>
        </w:rPr>
        <w:t>f</w:t>
      </w:r>
      <w:r w:rsidRPr="00F361FE">
        <w:rPr>
          <w:rFonts w:eastAsia="Times New Roman" w:cs="Calibri"/>
          <w:color w:val="000000"/>
          <w:sz w:val="24"/>
          <w:szCs w:val="24"/>
          <w:lang w:bidi="ar-SA"/>
        </w:rPr>
        <w:t>ram</w:t>
      </w:r>
      <w:r w:rsidR="00943E17">
        <w:rPr>
          <w:rFonts w:eastAsia="Times New Roman" w:cs="Calibri"/>
          <w:color w:val="000000"/>
          <w:sz w:val="24"/>
          <w:szCs w:val="24"/>
          <w:lang w:bidi="ar-SA"/>
        </w:rPr>
        <w:t xml:space="preserve">ing the issue </w:t>
      </w:r>
      <w:r w:rsidRPr="00F361FE">
        <w:rPr>
          <w:rFonts w:eastAsia="Times New Roman" w:cs="Calibri"/>
          <w:color w:val="000000"/>
          <w:sz w:val="24"/>
          <w:szCs w:val="24"/>
          <w:lang w:bidi="ar-SA"/>
        </w:rPr>
        <w:t xml:space="preserve">sets the </w:t>
      </w:r>
      <w:r w:rsidR="00943E17">
        <w:rPr>
          <w:rFonts w:eastAsia="Times New Roman" w:cs="Calibri"/>
          <w:color w:val="000000"/>
          <w:sz w:val="24"/>
          <w:szCs w:val="24"/>
          <w:lang w:bidi="ar-SA"/>
        </w:rPr>
        <w:t>drive</w:t>
      </w:r>
      <w:r w:rsidRPr="00F361FE">
        <w:rPr>
          <w:rFonts w:eastAsia="Times New Roman" w:cs="Calibri"/>
          <w:color w:val="000000"/>
          <w:sz w:val="24"/>
          <w:szCs w:val="24"/>
          <w:lang w:bidi="ar-SA"/>
        </w:rPr>
        <w:t>. To be successful movements must communicate a clear purpose.</w:t>
      </w:r>
    </w:p>
    <w:p w14:paraId="7D7F0C1D" w14:textId="643D7ADF" w:rsidR="00F361FE" w:rsidRPr="00F361FE" w:rsidRDefault="00D97306" w:rsidP="00F361FE">
      <w:pPr>
        <w:widowControl/>
        <w:numPr>
          <w:ilvl w:val="0"/>
          <w:numId w:val="1"/>
        </w:numPr>
        <w:shd w:val="clear" w:color="auto" w:fill="FFFFFF"/>
        <w:autoSpaceDE/>
        <w:autoSpaceDN/>
        <w:spacing w:before="100" w:beforeAutospacing="1" w:after="100" w:afterAutospacing="1"/>
        <w:rPr>
          <w:rFonts w:eastAsia="Times New Roman" w:cs="Segoe UI"/>
          <w:color w:val="212121"/>
          <w:sz w:val="24"/>
          <w:szCs w:val="24"/>
          <w:lang w:bidi="ar-SA"/>
        </w:rPr>
      </w:pPr>
      <w:r w:rsidRPr="00F361FE">
        <w:rPr>
          <w:rFonts w:eastAsia="Times New Roman" w:cs="Calibri"/>
          <w:b/>
          <w:bCs/>
          <w:color w:val="000000"/>
          <w:sz w:val="24"/>
          <w:szCs w:val="24"/>
          <w:lang w:bidi="ar-SA"/>
        </w:rPr>
        <w:t>Recruit and Connect:</w:t>
      </w:r>
      <w:r w:rsidRPr="00F361FE">
        <w:rPr>
          <w:rFonts w:eastAsia="Times New Roman" w:cs="Calibri"/>
          <w:color w:val="000000"/>
          <w:sz w:val="24"/>
          <w:szCs w:val="24"/>
          <w:lang w:bidi="ar-SA"/>
        </w:rPr>
        <w:t> A movement is born when a diverse group of people are brought together for a common cause by those committed to recruiting from within each of their networks.</w:t>
      </w:r>
    </w:p>
    <w:p w14:paraId="3815C730" w14:textId="72665AE1" w:rsidR="00F361FE" w:rsidRPr="00F361FE" w:rsidRDefault="00F361FE" w:rsidP="00F361FE">
      <w:pPr>
        <w:widowControl/>
        <w:numPr>
          <w:ilvl w:val="0"/>
          <w:numId w:val="1"/>
        </w:numPr>
        <w:shd w:val="clear" w:color="auto" w:fill="FFFFFF"/>
        <w:autoSpaceDE/>
        <w:autoSpaceDN/>
        <w:spacing w:before="100" w:beforeAutospacing="1" w:after="100" w:afterAutospacing="1"/>
        <w:rPr>
          <w:rFonts w:eastAsia="Times New Roman" w:cs="Segoe UI"/>
          <w:color w:val="212121"/>
          <w:sz w:val="24"/>
          <w:szCs w:val="24"/>
          <w:lang w:bidi="ar-SA"/>
        </w:rPr>
      </w:pPr>
      <w:r>
        <w:rPr>
          <w:rFonts w:eastAsia="Times New Roman" w:cs="Calibri"/>
          <w:b/>
          <w:bCs/>
          <w:color w:val="000000"/>
          <w:sz w:val="24"/>
          <w:szCs w:val="24"/>
          <w:lang w:bidi="ar-SA"/>
        </w:rPr>
        <w:t>R</w:t>
      </w:r>
      <w:r w:rsidR="00D97306" w:rsidRPr="00F361FE">
        <w:rPr>
          <w:rFonts w:eastAsia="Times New Roman" w:cs="Calibri"/>
          <w:b/>
          <w:bCs/>
          <w:color w:val="000000"/>
          <w:sz w:val="24"/>
          <w:szCs w:val="24"/>
          <w:lang w:bidi="ar-SA"/>
        </w:rPr>
        <w:t>esearch:</w:t>
      </w:r>
      <w:r w:rsidR="00D97306" w:rsidRPr="00F361FE">
        <w:rPr>
          <w:rFonts w:eastAsia="Times New Roman" w:cs="Calibri"/>
          <w:color w:val="212121"/>
          <w:sz w:val="24"/>
          <w:szCs w:val="24"/>
          <w:lang w:bidi="ar-SA"/>
        </w:rPr>
        <w:t> Statistics and data </w:t>
      </w:r>
      <w:r w:rsidR="00D97306" w:rsidRPr="00F361FE">
        <w:rPr>
          <w:rFonts w:eastAsia="Times New Roman" w:cs="Calibri"/>
          <w:color w:val="000000"/>
          <w:sz w:val="24"/>
          <w:szCs w:val="24"/>
          <w:lang w:bidi="ar-SA"/>
        </w:rPr>
        <w:t>help advocates </w:t>
      </w:r>
      <w:r w:rsidR="00D97306" w:rsidRPr="00F361FE">
        <w:rPr>
          <w:rFonts w:eastAsia="Times New Roman" w:cs="Calibri"/>
          <w:color w:val="212121"/>
          <w:sz w:val="24"/>
          <w:szCs w:val="24"/>
          <w:lang w:bidi="ar-SA"/>
        </w:rPr>
        <w:t>understand how to translate individual actions into the powerful and transformative collective action necessary to create change. However, statistics alone are not enough to drive lasting change. To bring those numbers and research to life, incorporate personal stories that capitalize on the human element of a common cause in turn connecting through both the heart as well as the head.</w:t>
      </w:r>
    </w:p>
    <w:p w14:paraId="7B8B83E4" w14:textId="70703D20" w:rsidR="00F361FE" w:rsidRPr="00F361FE" w:rsidRDefault="00D97306" w:rsidP="00F361FE">
      <w:pPr>
        <w:widowControl/>
        <w:numPr>
          <w:ilvl w:val="0"/>
          <w:numId w:val="1"/>
        </w:numPr>
        <w:shd w:val="clear" w:color="auto" w:fill="FFFFFF"/>
        <w:autoSpaceDE/>
        <w:autoSpaceDN/>
        <w:spacing w:before="100" w:beforeAutospacing="1" w:after="100" w:afterAutospacing="1"/>
        <w:rPr>
          <w:rFonts w:eastAsia="Times New Roman" w:cs="Segoe UI"/>
          <w:color w:val="212121"/>
          <w:sz w:val="24"/>
          <w:szCs w:val="24"/>
          <w:lang w:bidi="ar-SA"/>
        </w:rPr>
      </w:pPr>
      <w:r w:rsidRPr="00F361FE">
        <w:rPr>
          <w:rFonts w:eastAsia="Times New Roman" w:cs="Calibri"/>
          <w:b/>
          <w:bCs/>
          <w:color w:val="212121"/>
          <w:sz w:val="24"/>
          <w:szCs w:val="24"/>
          <w:lang w:bidi="ar-SA"/>
        </w:rPr>
        <w:t>Commitment:</w:t>
      </w:r>
      <w:r w:rsidRPr="00F361FE">
        <w:rPr>
          <w:rFonts w:eastAsia="Times New Roman" w:cs="Calibri"/>
          <w:color w:val="212121"/>
          <w:sz w:val="24"/>
          <w:szCs w:val="24"/>
          <w:lang w:bidi="ar-SA"/>
        </w:rPr>
        <w:t> Effective movements change social norms, attitudes and policy - all of which take time. Actionable opportunities, strong membership and strategies to build power must be a long</w:t>
      </w:r>
      <w:r w:rsidR="00CB401E" w:rsidRPr="00F361FE">
        <w:rPr>
          <w:rFonts w:eastAsia="Times New Roman" w:cs="Calibri"/>
          <w:color w:val="212121"/>
          <w:sz w:val="24"/>
          <w:szCs w:val="24"/>
          <w:lang w:bidi="ar-SA"/>
        </w:rPr>
        <w:t>-</w:t>
      </w:r>
      <w:r w:rsidRPr="00F361FE">
        <w:rPr>
          <w:rFonts w:eastAsia="Times New Roman" w:cs="Calibri"/>
          <w:color w:val="212121"/>
          <w:sz w:val="24"/>
          <w:szCs w:val="24"/>
          <w:lang w:bidi="ar-SA"/>
        </w:rPr>
        <w:t>term focus.</w:t>
      </w:r>
    </w:p>
    <w:p w14:paraId="72392E1B" w14:textId="7599CABA" w:rsidR="00557840" w:rsidRPr="00557840" w:rsidRDefault="00557840" w:rsidP="00F361FE">
      <w:pPr>
        <w:widowControl/>
        <w:numPr>
          <w:ilvl w:val="0"/>
          <w:numId w:val="1"/>
        </w:numPr>
        <w:shd w:val="clear" w:color="auto" w:fill="FFFFFF"/>
        <w:autoSpaceDE/>
        <w:autoSpaceDN/>
        <w:spacing w:before="100" w:beforeAutospacing="1" w:after="100" w:afterAutospacing="1"/>
        <w:rPr>
          <w:rFonts w:eastAsia="Times New Roman" w:cs="Segoe UI"/>
          <w:b/>
          <w:bCs/>
          <w:color w:val="212121"/>
          <w:sz w:val="24"/>
          <w:szCs w:val="24"/>
          <w:lang w:bidi="ar-SA"/>
        </w:rPr>
      </w:pPr>
      <w:r w:rsidRPr="00557840">
        <w:rPr>
          <w:rFonts w:eastAsia="Times New Roman" w:cs="Segoe UI"/>
          <w:b/>
          <w:bCs/>
          <w:color w:val="212121"/>
          <w:sz w:val="24"/>
          <w:szCs w:val="24"/>
          <w:lang w:bidi="ar-SA"/>
        </w:rPr>
        <w:t>Visibility:</w:t>
      </w:r>
      <w:r>
        <w:rPr>
          <w:rFonts w:eastAsia="Times New Roman" w:cs="Segoe UI"/>
          <w:b/>
          <w:bCs/>
          <w:color w:val="212121"/>
          <w:sz w:val="24"/>
          <w:szCs w:val="24"/>
          <w:lang w:bidi="ar-SA"/>
        </w:rPr>
        <w:t xml:space="preserve"> </w:t>
      </w:r>
      <w:r w:rsidRPr="00557840">
        <w:rPr>
          <w:rFonts w:eastAsia="Times New Roman" w:cs="Segoe UI"/>
          <w:color w:val="212121"/>
          <w:sz w:val="24"/>
          <w:szCs w:val="24"/>
          <w:lang w:bidi="ar-SA"/>
        </w:rPr>
        <w:t>Movements that are able to achieve higher visibility often have greater chance at changing public opinion.</w:t>
      </w:r>
      <w:r>
        <w:rPr>
          <w:rFonts w:eastAsia="Times New Roman" w:cs="Segoe UI"/>
          <w:color w:val="212121"/>
          <w:sz w:val="24"/>
          <w:szCs w:val="24"/>
          <w:lang w:bidi="ar-SA"/>
        </w:rPr>
        <w:t xml:space="preserve"> Small groups of advocates can contribute to a larger audience which may ultimately be seen in wider networks.</w:t>
      </w:r>
    </w:p>
    <w:p w14:paraId="5AEDFE01" w14:textId="0E33BF29" w:rsidR="00F361FE" w:rsidRPr="00F361FE" w:rsidRDefault="00D97306" w:rsidP="00F361FE">
      <w:pPr>
        <w:widowControl/>
        <w:numPr>
          <w:ilvl w:val="0"/>
          <w:numId w:val="1"/>
        </w:numPr>
        <w:shd w:val="clear" w:color="auto" w:fill="FFFFFF"/>
        <w:autoSpaceDE/>
        <w:autoSpaceDN/>
        <w:spacing w:before="100" w:beforeAutospacing="1" w:after="100" w:afterAutospacing="1"/>
        <w:rPr>
          <w:rFonts w:eastAsia="Times New Roman" w:cs="Segoe UI"/>
          <w:color w:val="212121"/>
          <w:sz w:val="24"/>
          <w:szCs w:val="24"/>
          <w:lang w:bidi="ar-SA"/>
        </w:rPr>
      </w:pPr>
      <w:r w:rsidRPr="00F361FE">
        <w:rPr>
          <w:rFonts w:eastAsia="Times New Roman" w:cs="Calibri"/>
          <w:b/>
          <w:bCs/>
          <w:color w:val="000000"/>
          <w:sz w:val="24"/>
          <w:szCs w:val="24"/>
          <w:lang w:bidi="ar-SA"/>
        </w:rPr>
        <w:t>Authenticity: </w:t>
      </w:r>
      <w:r w:rsidRPr="00F361FE">
        <w:rPr>
          <w:rFonts w:eastAsia="Times New Roman" w:cs="Calibri"/>
          <w:color w:val="212121"/>
          <w:sz w:val="24"/>
          <w:szCs w:val="24"/>
          <w:lang w:bidi="ar-SA"/>
        </w:rPr>
        <w:t>The foundation of a successful movement hinges on the ability to genuinely connect with the challenges people are going through, build trust and foster an environment of comfort that leads to diversity, inclusivity and belonging.</w:t>
      </w:r>
    </w:p>
    <w:p w14:paraId="02D51F7F" w14:textId="5E476FE4" w:rsidR="00F361FE" w:rsidRPr="00F361FE" w:rsidRDefault="00D97306" w:rsidP="00F361FE">
      <w:pPr>
        <w:widowControl/>
        <w:numPr>
          <w:ilvl w:val="0"/>
          <w:numId w:val="1"/>
        </w:numPr>
        <w:shd w:val="clear" w:color="auto" w:fill="FFFFFF"/>
        <w:autoSpaceDE/>
        <w:autoSpaceDN/>
        <w:spacing w:before="100" w:beforeAutospacing="1" w:after="100" w:afterAutospacing="1"/>
        <w:contextualSpacing/>
        <w:rPr>
          <w:rFonts w:eastAsia="Times New Roman" w:cs="Segoe UI"/>
          <w:color w:val="212121"/>
          <w:sz w:val="24"/>
          <w:szCs w:val="24"/>
          <w:lang w:bidi="ar-SA"/>
        </w:rPr>
      </w:pPr>
      <w:r w:rsidRPr="00F361FE">
        <w:rPr>
          <w:rFonts w:eastAsia="Times New Roman" w:cs="Calibri"/>
          <w:b/>
          <w:bCs/>
          <w:color w:val="212121"/>
          <w:sz w:val="24"/>
          <w:szCs w:val="24"/>
          <w:lang w:bidi="ar-SA"/>
        </w:rPr>
        <w:t>Importance of Grassroots:</w:t>
      </w:r>
      <w:r w:rsidRPr="00F361FE">
        <w:rPr>
          <w:rFonts w:eastAsia="Times New Roman" w:cs="Calibri"/>
          <w:color w:val="212121"/>
          <w:sz w:val="24"/>
          <w:szCs w:val="24"/>
          <w:lang w:bidi="ar-SA"/>
        </w:rPr>
        <w:t> Sustainability of movements relies on mobilizing a group of people who are passionate about a cause and harness the power of their conviction to push for a different outcome from </w:t>
      </w:r>
      <w:r w:rsidRPr="00F361FE">
        <w:rPr>
          <w:rFonts w:eastAsia="Times New Roman" w:cs="Segoe UI"/>
          <w:color w:val="212121"/>
          <w:sz w:val="24"/>
          <w:szCs w:val="24"/>
          <w:lang w:bidi="ar-SA"/>
        </w:rPr>
        <w:t>the</w:t>
      </w:r>
      <w:r w:rsidRPr="00F361FE">
        <w:rPr>
          <w:rFonts w:eastAsia="Times New Roman" w:cs="Calibri"/>
          <w:color w:val="212121"/>
          <w:sz w:val="24"/>
          <w:szCs w:val="24"/>
          <w:lang w:bidi="ar-SA"/>
        </w:rPr>
        <w:t xml:space="preserve"> ground up. </w:t>
      </w:r>
      <w:r w:rsidR="00CB401E" w:rsidRPr="00F361FE">
        <w:rPr>
          <w:rFonts w:eastAsia="Times New Roman" w:cs="Calibri"/>
          <w:color w:val="212121"/>
          <w:sz w:val="24"/>
          <w:szCs w:val="24"/>
          <w:lang w:bidi="ar-SA"/>
        </w:rPr>
        <w:t>P</w:t>
      </w:r>
      <w:r w:rsidRPr="00F361FE">
        <w:rPr>
          <w:rFonts w:eastAsia="Times New Roman" w:cs="Calibri"/>
          <w:color w:val="212121"/>
          <w:sz w:val="24"/>
          <w:szCs w:val="24"/>
          <w:lang w:bidi="ar-SA"/>
        </w:rPr>
        <w:t xml:space="preserve">eople </w:t>
      </w:r>
      <w:r w:rsidR="00CB401E" w:rsidRPr="00F361FE">
        <w:rPr>
          <w:rFonts w:eastAsia="Times New Roman" w:cs="Calibri"/>
          <w:color w:val="212121"/>
          <w:sz w:val="24"/>
          <w:szCs w:val="24"/>
          <w:lang w:bidi="ar-SA"/>
        </w:rPr>
        <w:t xml:space="preserve">that are personally invested in a cause </w:t>
      </w:r>
      <w:r w:rsidRPr="00F361FE">
        <w:rPr>
          <w:rFonts w:eastAsia="Times New Roman" w:cs="Calibri"/>
          <w:color w:val="212121"/>
          <w:sz w:val="24"/>
          <w:szCs w:val="24"/>
          <w:lang w:bidi="ar-SA"/>
        </w:rPr>
        <w:t>bring an unrestrained enthusiasm that can carry a movement through the challenges and obstacles that typically accompany change. </w:t>
      </w:r>
    </w:p>
    <w:p w14:paraId="5ED33FA4" w14:textId="1684D694" w:rsidR="00D97306" w:rsidRPr="00375838" w:rsidRDefault="00D97306" w:rsidP="00F361FE">
      <w:pPr>
        <w:widowControl/>
        <w:numPr>
          <w:ilvl w:val="0"/>
          <w:numId w:val="2"/>
        </w:numPr>
        <w:shd w:val="clear" w:color="auto" w:fill="FFFFFF"/>
        <w:autoSpaceDE/>
        <w:autoSpaceDN/>
        <w:spacing w:before="100" w:beforeAutospacing="1" w:after="100" w:afterAutospacing="1"/>
        <w:contextualSpacing/>
        <w:rPr>
          <w:rFonts w:eastAsia="Times New Roman" w:cs="Segoe UI"/>
          <w:color w:val="212121"/>
          <w:sz w:val="24"/>
          <w:szCs w:val="24"/>
          <w:lang w:bidi="ar-SA"/>
        </w:rPr>
      </w:pPr>
      <w:r w:rsidRPr="00F361FE">
        <w:rPr>
          <w:rFonts w:eastAsia="Times New Roman" w:cs="Calibri"/>
          <w:b/>
          <w:bCs/>
          <w:color w:val="000000"/>
          <w:sz w:val="24"/>
          <w:szCs w:val="24"/>
          <w:lang w:bidi="ar-SA"/>
        </w:rPr>
        <w:t>Low Barrier to Entry: </w:t>
      </w:r>
      <w:r w:rsidRPr="00F361FE">
        <w:rPr>
          <w:rFonts w:eastAsia="Times New Roman" w:cs="Calibri"/>
          <w:color w:val="000000"/>
          <w:sz w:val="24"/>
          <w:szCs w:val="24"/>
          <w:lang w:bidi="ar-SA"/>
        </w:rPr>
        <w:t>Successful movements rely on ordinary individuals who feel empowered to activate around activities everyone can emulate and participate in.</w:t>
      </w:r>
    </w:p>
    <w:p w14:paraId="0128A95C" w14:textId="03B0F4F3" w:rsidR="00375838" w:rsidRPr="00375838" w:rsidRDefault="00375838" w:rsidP="00F361FE">
      <w:pPr>
        <w:widowControl/>
        <w:numPr>
          <w:ilvl w:val="0"/>
          <w:numId w:val="2"/>
        </w:numPr>
        <w:shd w:val="clear" w:color="auto" w:fill="FFFFFF"/>
        <w:autoSpaceDE/>
        <w:autoSpaceDN/>
        <w:spacing w:before="100" w:beforeAutospacing="1" w:after="100" w:afterAutospacing="1"/>
        <w:contextualSpacing/>
        <w:rPr>
          <w:rFonts w:eastAsia="Times New Roman" w:cs="Segoe UI"/>
          <w:color w:val="212121"/>
          <w:sz w:val="24"/>
          <w:szCs w:val="24"/>
          <w:lang w:bidi="ar-SA"/>
        </w:rPr>
      </w:pPr>
      <w:r>
        <w:rPr>
          <w:rFonts w:eastAsia="Times New Roman" w:cs="Calibri"/>
          <w:b/>
          <w:bCs/>
          <w:color w:val="000000"/>
          <w:sz w:val="24"/>
          <w:szCs w:val="24"/>
          <w:lang w:bidi="ar-SA"/>
        </w:rPr>
        <w:t>Ability to Scale</w:t>
      </w:r>
      <w:r w:rsidR="00FD437E">
        <w:rPr>
          <w:rFonts w:eastAsia="Times New Roman" w:cs="Calibri"/>
          <w:b/>
          <w:bCs/>
          <w:color w:val="000000"/>
          <w:sz w:val="24"/>
          <w:szCs w:val="24"/>
          <w:lang w:bidi="ar-SA"/>
        </w:rPr>
        <w:t xml:space="preserve">: </w:t>
      </w:r>
      <w:r w:rsidR="00FD437E" w:rsidRPr="00FD437E">
        <w:rPr>
          <w:rFonts w:eastAsia="Times New Roman" w:cs="Calibri"/>
          <w:color w:val="000000"/>
          <w:sz w:val="24"/>
          <w:szCs w:val="24"/>
          <w:lang w:bidi="ar-SA"/>
        </w:rPr>
        <w:t>Creating large social change requires the ability to take a movement across various platforms or communities</w:t>
      </w:r>
      <w:r w:rsidR="00FD437E">
        <w:rPr>
          <w:rFonts w:eastAsia="Times New Roman" w:cs="Calibri"/>
          <w:color w:val="000000"/>
          <w:sz w:val="24"/>
          <w:szCs w:val="24"/>
          <w:lang w:bidi="ar-SA"/>
        </w:rPr>
        <w:t xml:space="preserve"> by growing their base.</w:t>
      </w:r>
    </w:p>
    <w:p w14:paraId="5C0BC802" w14:textId="395FA624" w:rsidR="00375838" w:rsidRPr="00485766" w:rsidRDefault="00375838" w:rsidP="00F361FE">
      <w:pPr>
        <w:widowControl/>
        <w:numPr>
          <w:ilvl w:val="0"/>
          <w:numId w:val="2"/>
        </w:numPr>
        <w:shd w:val="clear" w:color="auto" w:fill="FFFFFF"/>
        <w:autoSpaceDE/>
        <w:autoSpaceDN/>
        <w:spacing w:before="100" w:beforeAutospacing="1" w:after="100" w:afterAutospacing="1"/>
        <w:contextualSpacing/>
        <w:rPr>
          <w:rFonts w:eastAsia="Times New Roman" w:cs="Segoe UI"/>
          <w:color w:val="212121"/>
          <w:sz w:val="24"/>
          <w:szCs w:val="24"/>
          <w:lang w:bidi="ar-SA"/>
        </w:rPr>
      </w:pPr>
      <w:r>
        <w:rPr>
          <w:rFonts w:eastAsia="Times New Roman" w:cs="Calibri"/>
          <w:b/>
          <w:bCs/>
          <w:color w:val="000000"/>
          <w:sz w:val="24"/>
          <w:szCs w:val="24"/>
          <w:lang w:bidi="ar-SA"/>
        </w:rPr>
        <w:t>Resource Allocation</w:t>
      </w:r>
      <w:r w:rsidR="00FD437E">
        <w:rPr>
          <w:rFonts w:eastAsia="Times New Roman" w:cs="Calibri"/>
          <w:b/>
          <w:bCs/>
          <w:color w:val="000000"/>
          <w:sz w:val="24"/>
          <w:szCs w:val="24"/>
          <w:lang w:bidi="ar-SA"/>
        </w:rPr>
        <w:t>:</w:t>
      </w:r>
      <w:r w:rsidR="00485766">
        <w:rPr>
          <w:rFonts w:eastAsia="Times New Roman" w:cs="Calibri"/>
          <w:b/>
          <w:bCs/>
          <w:color w:val="000000"/>
          <w:sz w:val="24"/>
          <w:szCs w:val="24"/>
          <w:lang w:bidi="ar-SA"/>
        </w:rPr>
        <w:t xml:space="preserve"> </w:t>
      </w:r>
      <w:r w:rsidR="00485766" w:rsidRPr="00485766">
        <w:rPr>
          <w:rFonts w:eastAsia="Times New Roman" w:cs="Calibri"/>
          <w:color w:val="000000"/>
          <w:sz w:val="24"/>
          <w:szCs w:val="24"/>
          <w:lang w:bidi="ar-SA"/>
        </w:rPr>
        <w:t>Successful movements can harness the power of resources through capacity building, training, leadership development and identifying funds to support the cause.</w:t>
      </w:r>
    </w:p>
    <w:p w14:paraId="1BEA4D78" w14:textId="58ECC954" w:rsidR="00105911" w:rsidRPr="00485766" w:rsidRDefault="00105911" w:rsidP="00F361FE">
      <w:pPr>
        <w:spacing w:before="155" w:line="360" w:lineRule="auto"/>
        <w:ind w:left="3476" w:right="3494"/>
        <w:jc w:val="center"/>
        <w:rPr>
          <w:sz w:val="30"/>
        </w:rPr>
      </w:pPr>
    </w:p>
    <w:p w14:paraId="0EF48099" w14:textId="54F62255" w:rsidR="00F361FE" w:rsidRPr="00F361FE" w:rsidRDefault="00F361FE" w:rsidP="00F361FE">
      <w:pPr>
        <w:spacing w:before="155" w:line="360" w:lineRule="auto"/>
        <w:ind w:left="3476" w:right="3494"/>
        <w:jc w:val="center"/>
        <w:rPr>
          <w:sz w:val="30"/>
        </w:rPr>
      </w:pPr>
    </w:p>
    <w:p w14:paraId="218480C7" w14:textId="77777777" w:rsidR="00FF5402" w:rsidRDefault="00FF5402">
      <w:pPr>
        <w:spacing w:before="2"/>
        <w:rPr>
          <w:sz w:val="24"/>
        </w:rPr>
      </w:pPr>
    </w:p>
    <w:tbl>
      <w:tblPr>
        <w:tblW w:w="0" w:type="auto"/>
        <w:tblInd w:w="125" w:type="dxa"/>
        <w:tblBorders>
          <w:top w:val="single" w:sz="8" w:space="0" w:color="B0B8BB"/>
          <w:left w:val="single" w:sz="8" w:space="0" w:color="B0B8BB"/>
          <w:bottom w:val="single" w:sz="8" w:space="0" w:color="B0B8BB"/>
          <w:right w:val="single" w:sz="8" w:space="0" w:color="B0B8BB"/>
          <w:insideH w:val="single" w:sz="8" w:space="0" w:color="B0B8BB"/>
          <w:insideV w:val="single" w:sz="8" w:space="0" w:color="B0B8BB"/>
        </w:tblBorders>
        <w:tblLayout w:type="fixed"/>
        <w:tblCellMar>
          <w:left w:w="0" w:type="dxa"/>
          <w:right w:w="0" w:type="dxa"/>
        </w:tblCellMar>
        <w:tblLook w:val="01E0" w:firstRow="1" w:lastRow="1" w:firstColumn="1" w:lastColumn="1" w:noHBand="0" w:noVBand="0"/>
      </w:tblPr>
      <w:tblGrid>
        <w:gridCol w:w="5635"/>
        <w:gridCol w:w="4994"/>
      </w:tblGrid>
      <w:tr w:rsidR="00FF5402" w14:paraId="6D4AA395" w14:textId="77777777">
        <w:trPr>
          <w:trHeight w:val="525"/>
        </w:trPr>
        <w:tc>
          <w:tcPr>
            <w:tcW w:w="10629" w:type="dxa"/>
            <w:gridSpan w:val="2"/>
            <w:tcBorders>
              <w:top w:val="nil"/>
              <w:left w:val="nil"/>
              <w:right w:val="nil"/>
            </w:tcBorders>
            <w:shd w:val="clear" w:color="auto" w:fill="3E4F59"/>
          </w:tcPr>
          <w:p w14:paraId="734D0877" w14:textId="351309C5" w:rsidR="00FF5402" w:rsidRDefault="00034805">
            <w:pPr>
              <w:pStyle w:val="TableParagraph"/>
              <w:spacing w:before="80"/>
              <w:ind w:left="217"/>
              <w:rPr>
                <w:b/>
                <w:sz w:val="30"/>
              </w:rPr>
            </w:pPr>
            <w:r>
              <w:rPr>
                <w:b/>
                <w:color w:val="FFFFFF"/>
                <w:sz w:val="30"/>
              </w:rPr>
              <w:t xml:space="preserve">LEADER </w:t>
            </w:r>
            <w:r w:rsidR="00F27DDB">
              <w:rPr>
                <w:b/>
                <w:color w:val="FFFFFF"/>
                <w:sz w:val="30"/>
              </w:rPr>
              <w:t>INFORMATION</w:t>
            </w:r>
          </w:p>
        </w:tc>
      </w:tr>
      <w:tr w:rsidR="00FF5402" w14:paraId="37504791" w14:textId="77777777">
        <w:trPr>
          <w:trHeight w:val="349"/>
        </w:trPr>
        <w:tc>
          <w:tcPr>
            <w:tcW w:w="10629" w:type="dxa"/>
            <w:gridSpan w:val="2"/>
          </w:tcPr>
          <w:p w14:paraId="637269C3" w14:textId="77777777" w:rsidR="00FF5402" w:rsidRDefault="00F27DDB">
            <w:pPr>
              <w:pStyle w:val="TableParagraph"/>
              <w:spacing w:before="38"/>
              <w:rPr>
                <w:sz w:val="20"/>
              </w:rPr>
            </w:pPr>
            <w:r>
              <w:rPr>
                <w:color w:val="231F20"/>
                <w:sz w:val="20"/>
              </w:rPr>
              <w:t>Name:</w:t>
            </w:r>
          </w:p>
        </w:tc>
      </w:tr>
      <w:tr w:rsidR="00FF5402" w14:paraId="5DDAACFC" w14:textId="77777777" w:rsidTr="00034805">
        <w:trPr>
          <w:trHeight w:val="349"/>
        </w:trPr>
        <w:tc>
          <w:tcPr>
            <w:tcW w:w="5635" w:type="dxa"/>
          </w:tcPr>
          <w:p w14:paraId="1DD64478" w14:textId="0298B849" w:rsidR="00FF5402" w:rsidRDefault="00F27DDB">
            <w:pPr>
              <w:pStyle w:val="TableParagraph"/>
              <w:spacing w:before="38"/>
              <w:rPr>
                <w:sz w:val="20"/>
              </w:rPr>
            </w:pPr>
            <w:r>
              <w:rPr>
                <w:color w:val="231F20"/>
                <w:sz w:val="20"/>
              </w:rPr>
              <w:t>City</w:t>
            </w:r>
            <w:r w:rsidR="00034805">
              <w:rPr>
                <w:color w:val="231F20"/>
                <w:sz w:val="20"/>
              </w:rPr>
              <w:t>/State</w:t>
            </w:r>
            <w:r>
              <w:rPr>
                <w:color w:val="231F20"/>
                <w:sz w:val="20"/>
              </w:rPr>
              <w:t>:</w:t>
            </w:r>
          </w:p>
        </w:tc>
        <w:tc>
          <w:tcPr>
            <w:tcW w:w="4994" w:type="dxa"/>
          </w:tcPr>
          <w:p w14:paraId="400D6B50" w14:textId="0EE8CA81" w:rsidR="00FF5402" w:rsidRDefault="00034805">
            <w:pPr>
              <w:pStyle w:val="TableParagraph"/>
              <w:spacing w:before="38"/>
              <w:rPr>
                <w:sz w:val="20"/>
              </w:rPr>
            </w:pPr>
            <w:r>
              <w:rPr>
                <w:color w:val="231F20"/>
                <w:sz w:val="20"/>
              </w:rPr>
              <w:t>University</w:t>
            </w:r>
            <w:r w:rsidR="00F27DDB">
              <w:rPr>
                <w:color w:val="231F20"/>
                <w:sz w:val="20"/>
              </w:rPr>
              <w:t>:</w:t>
            </w:r>
          </w:p>
        </w:tc>
      </w:tr>
      <w:tr w:rsidR="00FF5402" w14:paraId="7676B141" w14:textId="77777777">
        <w:trPr>
          <w:trHeight w:val="349"/>
        </w:trPr>
        <w:tc>
          <w:tcPr>
            <w:tcW w:w="10629" w:type="dxa"/>
            <w:gridSpan w:val="2"/>
          </w:tcPr>
          <w:p w14:paraId="292B1FFB" w14:textId="77777777" w:rsidR="00FF5402" w:rsidRDefault="00F27DDB">
            <w:pPr>
              <w:pStyle w:val="TableParagraph"/>
              <w:spacing w:before="38"/>
              <w:rPr>
                <w:sz w:val="20"/>
              </w:rPr>
            </w:pPr>
            <w:r>
              <w:rPr>
                <w:color w:val="231F20"/>
                <w:sz w:val="20"/>
              </w:rPr>
              <w:t>Email:</w:t>
            </w:r>
          </w:p>
        </w:tc>
      </w:tr>
      <w:tr w:rsidR="00034805" w14:paraId="00E7C5DE" w14:textId="77777777" w:rsidTr="00DC6832">
        <w:trPr>
          <w:trHeight w:val="349"/>
        </w:trPr>
        <w:tc>
          <w:tcPr>
            <w:tcW w:w="10629" w:type="dxa"/>
            <w:gridSpan w:val="2"/>
          </w:tcPr>
          <w:p w14:paraId="02AEA475" w14:textId="58DDB6FD" w:rsidR="00034805" w:rsidRDefault="00034805" w:rsidP="00034805">
            <w:pPr>
              <w:pStyle w:val="TableParagraph"/>
              <w:spacing w:before="38"/>
              <w:rPr>
                <w:sz w:val="20"/>
              </w:rPr>
            </w:pPr>
            <w:r>
              <w:rPr>
                <w:color w:val="231F20"/>
                <w:sz w:val="20"/>
              </w:rPr>
              <w:t>Social Media:</w:t>
            </w:r>
          </w:p>
        </w:tc>
      </w:tr>
    </w:tbl>
    <w:p w14:paraId="569E9351" w14:textId="77777777" w:rsidR="00FF5402" w:rsidRDefault="00FF5402">
      <w:pPr>
        <w:spacing w:before="7"/>
        <w:rPr>
          <w:sz w:val="19"/>
        </w:rPr>
      </w:pPr>
    </w:p>
    <w:tbl>
      <w:tblPr>
        <w:tblW w:w="0" w:type="auto"/>
        <w:tblInd w:w="125" w:type="dxa"/>
        <w:tblBorders>
          <w:top w:val="single" w:sz="8" w:space="0" w:color="B0B8BB"/>
          <w:left w:val="single" w:sz="8" w:space="0" w:color="B0B8BB"/>
          <w:bottom w:val="single" w:sz="8" w:space="0" w:color="B0B8BB"/>
          <w:right w:val="single" w:sz="8" w:space="0" w:color="B0B8BB"/>
          <w:insideH w:val="single" w:sz="8" w:space="0" w:color="B0B8BB"/>
          <w:insideV w:val="single" w:sz="8" w:space="0" w:color="B0B8BB"/>
        </w:tblBorders>
        <w:tblLayout w:type="fixed"/>
        <w:tblCellMar>
          <w:left w:w="0" w:type="dxa"/>
          <w:right w:w="0" w:type="dxa"/>
        </w:tblCellMar>
        <w:tblLook w:val="01E0" w:firstRow="1" w:lastRow="1" w:firstColumn="1" w:lastColumn="1" w:noHBand="0" w:noVBand="0"/>
      </w:tblPr>
      <w:tblGrid>
        <w:gridCol w:w="6460"/>
        <w:gridCol w:w="4170"/>
      </w:tblGrid>
      <w:tr w:rsidR="00FF5402" w14:paraId="6B4556F4" w14:textId="77777777">
        <w:trPr>
          <w:trHeight w:val="525"/>
        </w:trPr>
        <w:tc>
          <w:tcPr>
            <w:tcW w:w="10630" w:type="dxa"/>
            <w:gridSpan w:val="2"/>
            <w:tcBorders>
              <w:top w:val="nil"/>
              <w:left w:val="nil"/>
              <w:right w:val="nil"/>
            </w:tcBorders>
            <w:shd w:val="clear" w:color="auto" w:fill="3E4F59"/>
          </w:tcPr>
          <w:p w14:paraId="1C8667B5" w14:textId="0F890BA7" w:rsidR="00FF5402" w:rsidRDefault="00F27DDB">
            <w:pPr>
              <w:pStyle w:val="TableParagraph"/>
              <w:spacing w:before="77"/>
              <w:ind w:left="217"/>
              <w:rPr>
                <w:b/>
                <w:sz w:val="30"/>
              </w:rPr>
            </w:pPr>
            <w:r>
              <w:rPr>
                <w:b/>
                <w:color w:val="FFFFFF"/>
                <w:sz w:val="30"/>
              </w:rPr>
              <w:t>ACTION PLAN INFORMATION</w:t>
            </w:r>
          </w:p>
        </w:tc>
      </w:tr>
      <w:tr w:rsidR="00FF5402" w14:paraId="69ED781D" w14:textId="77777777">
        <w:trPr>
          <w:trHeight w:val="349"/>
        </w:trPr>
        <w:tc>
          <w:tcPr>
            <w:tcW w:w="10630" w:type="dxa"/>
            <w:gridSpan w:val="2"/>
          </w:tcPr>
          <w:p w14:paraId="5E25C46D" w14:textId="1B3AFF01" w:rsidR="00FF5402" w:rsidRDefault="00F27DDB">
            <w:pPr>
              <w:pStyle w:val="TableParagraph"/>
              <w:rPr>
                <w:sz w:val="20"/>
              </w:rPr>
            </w:pPr>
            <w:r>
              <w:rPr>
                <w:color w:val="231F20"/>
                <w:sz w:val="20"/>
              </w:rPr>
              <w:t xml:space="preserve">Name of </w:t>
            </w:r>
            <w:r w:rsidR="00034805">
              <w:rPr>
                <w:color w:val="231F20"/>
                <w:sz w:val="20"/>
              </w:rPr>
              <w:t>Action Plan</w:t>
            </w:r>
            <w:r>
              <w:rPr>
                <w:color w:val="231F20"/>
                <w:sz w:val="20"/>
              </w:rPr>
              <w:t>:</w:t>
            </w:r>
          </w:p>
        </w:tc>
      </w:tr>
      <w:tr w:rsidR="00FF5402" w14:paraId="081B79A3" w14:textId="77777777">
        <w:trPr>
          <w:trHeight w:val="349"/>
        </w:trPr>
        <w:tc>
          <w:tcPr>
            <w:tcW w:w="10630" w:type="dxa"/>
            <w:gridSpan w:val="2"/>
          </w:tcPr>
          <w:p w14:paraId="5625EDAA" w14:textId="4CADEF09" w:rsidR="00FF5402" w:rsidRDefault="00F361FE">
            <w:pPr>
              <w:pStyle w:val="TableParagraph"/>
              <w:rPr>
                <w:sz w:val="20"/>
              </w:rPr>
            </w:pPr>
            <w:r>
              <w:rPr>
                <w:color w:val="231F20"/>
                <w:sz w:val="20"/>
              </w:rPr>
              <w:t>Vision</w:t>
            </w:r>
            <w:r w:rsidR="00F27DDB">
              <w:rPr>
                <w:color w:val="231F20"/>
                <w:sz w:val="20"/>
              </w:rPr>
              <w:t>:</w:t>
            </w:r>
          </w:p>
        </w:tc>
      </w:tr>
      <w:tr w:rsidR="00FF5402" w14:paraId="578765DE" w14:textId="77777777">
        <w:trPr>
          <w:trHeight w:val="349"/>
        </w:trPr>
        <w:tc>
          <w:tcPr>
            <w:tcW w:w="6460" w:type="dxa"/>
          </w:tcPr>
          <w:p w14:paraId="211624C1" w14:textId="77777777" w:rsidR="00FF5402" w:rsidRDefault="00F27DDB">
            <w:pPr>
              <w:pStyle w:val="TableParagraph"/>
              <w:rPr>
                <w:sz w:val="20"/>
              </w:rPr>
            </w:pPr>
            <w:r>
              <w:rPr>
                <w:color w:val="231F20"/>
                <w:sz w:val="20"/>
              </w:rPr>
              <w:t>Resources Needed:</w:t>
            </w:r>
          </w:p>
        </w:tc>
        <w:tc>
          <w:tcPr>
            <w:tcW w:w="4170" w:type="dxa"/>
          </w:tcPr>
          <w:p w14:paraId="698CBEFA" w14:textId="77777777" w:rsidR="00FF5402" w:rsidRDefault="00F27DDB">
            <w:pPr>
              <w:pStyle w:val="TableParagraph"/>
              <w:ind w:left="137"/>
              <w:rPr>
                <w:sz w:val="20"/>
              </w:rPr>
            </w:pPr>
            <w:r>
              <w:rPr>
                <w:color w:val="231F20"/>
                <w:sz w:val="20"/>
              </w:rPr>
              <w:t>Funding Needed:</w:t>
            </w:r>
          </w:p>
        </w:tc>
      </w:tr>
      <w:tr w:rsidR="00093828" w14:paraId="4CDAE3F6" w14:textId="77777777" w:rsidTr="00D17C88">
        <w:trPr>
          <w:trHeight w:val="349"/>
        </w:trPr>
        <w:tc>
          <w:tcPr>
            <w:tcW w:w="10630" w:type="dxa"/>
            <w:gridSpan w:val="2"/>
          </w:tcPr>
          <w:p w14:paraId="005BE8D1" w14:textId="77777777" w:rsidR="00093828" w:rsidRDefault="00093828">
            <w:pPr>
              <w:pStyle w:val="TableParagraph"/>
              <w:ind w:left="137"/>
              <w:rPr>
                <w:color w:val="231F20"/>
                <w:sz w:val="20"/>
              </w:rPr>
            </w:pPr>
            <w:r>
              <w:rPr>
                <w:color w:val="231F20"/>
                <w:sz w:val="20"/>
              </w:rPr>
              <w:t>Goal(s):</w:t>
            </w:r>
          </w:p>
          <w:p w14:paraId="60FF545E" w14:textId="77777777" w:rsidR="00093828" w:rsidRDefault="00093828">
            <w:pPr>
              <w:pStyle w:val="TableParagraph"/>
              <w:ind w:left="137"/>
              <w:rPr>
                <w:color w:val="231F20"/>
                <w:sz w:val="20"/>
              </w:rPr>
            </w:pPr>
          </w:p>
          <w:p w14:paraId="3E548E10" w14:textId="77777777" w:rsidR="00093828" w:rsidRDefault="00093828">
            <w:pPr>
              <w:pStyle w:val="TableParagraph"/>
              <w:ind w:left="137"/>
              <w:rPr>
                <w:color w:val="231F20"/>
                <w:sz w:val="20"/>
              </w:rPr>
            </w:pPr>
          </w:p>
        </w:tc>
      </w:tr>
      <w:tr w:rsidR="00093828" w14:paraId="0D539C85" w14:textId="77777777" w:rsidTr="00D17C88">
        <w:trPr>
          <w:trHeight w:val="349"/>
        </w:trPr>
        <w:tc>
          <w:tcPr>
            <w:tcW w:w="10630" w:type="dxa"/>
            <w:gridSpan w:val="2"/>
          </w:tcPr>
          <w:p w14:paraId="046840A4" w14:textId="77777777" w:rsidR="00093828" w:rsidRDefault="00093828">
            <w:pPr>
              <w:pStyle w:val="TableParagraph"/>
              <w:ind w:left="137"/>
              <w:rPr>
                <w:color w:val="231F20"/>
                <w:sz w:val="20"/>
              </w:rPr>
            </w:pPr>
            <w:r>
              <w:rPr>
                <w:color w:val="231F20"/>
                <w:sz w:val="20"/>
              </w:rPr>
              <w:t>Objective(s):</w:t>
            </w:r>
          </w:p>
          <w:p w14:paraId="2E84991D" w14:textId="77777777" w:rsidR="00093828" w:rsidRDefault="00093828">
            <w:pPr>
              <w:pStyle w:val="TableParagraph"/>
              <w:ind w:left="137"/>
              <w:rPr>
                <w:color w:val="231F20"/>
                <w:sz w:val="20"/>
              </w:rPr>
            </w:pPr>
          </w:p>
          <w:p w14:paraId="2FF2B697" w14:textId="77777777" w:rsidR="00093828" w:rsidRDefault="00093828">
            <w:pPr>
              <w:pStyle w:val="TableParagraph"/>
              <w:ind w:left="137"/>
              <w:rPr>
                <w:color w:val="231F20"/>
                <w:sz w:val="20"/>
              </w:rPr>
            </w:pPr>
          </w:p>
        </w:tc>
      </w:tr>
      <w:tr w:rsidR="00093828" w14:paraId="154E7DD7" w14:textId="77777777" w:rsidTr="00D17C88">
        <w:trPr>
          <w:trHeight w:val="349"/>
        </w:trPr>
        <w:tc>
          <w:tcPr>
            <w:tcW w:w="10630" w:type="dxa"/>
            <w:gridSpan w:val="2"/>
          </w:tcPr>
          <w:p w14:paraId="5BA84FBD" w14:textId="77777777" w:rsidR="00093828" w:rsidRDefault="00093828">
            <w:pPr>
              <w:pStyle w:val="TableParagraph"/>
              <w:ind w:left="137"/>
              <w:rPr>
                <w:color w:val="231F20"/>
                <w:sz w:val="20"/>
              </w:rPr>
            </w:pPr>
            <w:r>
              <w:rPr>
                <w:color w:val="231F20"/>
                <w:sz w:val="20"/>
              </w:rPr>
              <w:t>Objective(s):</w:t>
            </w:r>
          </w:p>
          <w:p w14:paraId="6307F30E" w14:textId="77777777" w:rsidR="00093828" w:rsidRDefault="00093828">
            <w:pPr>
              <w:pStyle w:val="TableParagraph"/>
              <w:ind w:left="137"/>
              <w:rPr>
                <w:color w:val="231F20"/>
                <w:sz w:val="20"/>
              </w:rPr>
            </w:pPr>
          </w:p>
          <w:p w14:paraId="4304416B" w14:textId="77777777" w:rsidR="00093828" w:rsidRDefault="00093828">
            <w:pPr>
              <w:pStyle w:val="TableParagraph"/>
              <w:ind w:left="137"/>
              <w:rPr>
                <w:color w:val="231F20"/>
                <w:sz w:val="20"/>
              </w:rPr>
            </w:pPr>
          </w:p>
        </w:tc>
      </w:tr>
      <w:tr w:rsidR="00F361FE" w14:paraId="55D1AC6B" w14:textId="77777777" w:rsidTr="00D17C88">
        <w:trPr>
          <w:trHeight w:val="349"/>
        </w:trPr>
        <w:tc>
          <w:tcPr>
            <w:tcW w:w="10630" w:type="dxa"/>
            <w:gridSpan w:val="2"/>
          </w:tcPr>
          <w:p w14:paraId="3245BD8C" w14:textId="77777777" w:rsidR="00F361FE" w:rsidRDefault="00F361FE">
            <w:pPr>
              <w:pStyle w:val="TableParagraph"/>
              <w:ind w:left="137"/>
              <w:rPr>
                <w:color w:val="231F20"/>
                <w:sz w:val="20"/>
              </w:rPr>
            </w:pPr>
            <w:r>
              <w:rPr>
                <w:color w:val="231F20"/>
                <w:sz w:val="20"/>
              </w:rPr>
              <w:t>Supporting Data:</w:t>
            </w:r>
          </w:p>
          <w:p w14:paraId="729EBFEE" w14:textId="77777777" w:rsidR="00F361FE" w:rsidRDefault="00F361FE">
            <w:pPr>
              <w:pStyle w:val="TableParagraph"/>
              <w:ind w:left="137"/>
              <w:rPr>
                <w:color w:val="231F20"/>
                <w:sz w:val="20"/>
              </w:rPr>
            </w:pPr>
          </w:p>
          <w:p w14:paraId="79DAB153" w14:textId="38857322" w:rsidR="00F361FE" w:rsidRDefault="00F361FE">
            <w:pPr>
              <w:pStyle w:val="TableParagraph"/>
              <w:ind w:left="137"/>
              <w:rPr>
                <w:color w:val="231F20"/>
                <w:sz w:val="20"/>
              </w:rPr>
            </w:pPr>
          </w:p>
        </w:tc>
      </w:tr>
      <w:tr w:rsidR="00093828" w14:paraId="64C89D28" w14:textId="77777777" w:rsidTr="00D17C88">
        <w:trPr>
          <w:trHeight w:val="349"/>
        </w:trPr>
        <w:tc>
          <w:tcPr>
            <w:tcW w:w="10630" w:type="dxa"/>
            <w:gridSpan w:val="2"/>
          </w:tcPr>
          <w:p w14:paraId="7F3E5E05" w14:textId="77777777" w:rsidR="00093828" w:rsidRDefault="00093828">
            <w:pPr>
              <w:pStyle w:val="TableParagraph"/>
              <w:ind w:left="137"/>
              <w:rPr>
                <w:color w:val="231F20"/>
                <w:sz w:val="20"/>
              </w:rPr>
            </w:pPr>
            <w:r>
              <w:rPr>
                <w:color w:val="231F20"/>
                <w:sz w:val="20"/>
              </w:rPr>
              <w:t>Key Activities:</w:t>
            </w:r>
          </w:p>
          <w:p w14:paraId="16A9D982" w14:textId="77777777" w:rsidR="00093828" w:rsidRDefault="00093828">
            <w:pPr>
              <w:pStyle w:val="TableParagraph"/>
              <w:ind w:left="137"/>
              <w:rPr>
                <w:color w:val="231F20"/>
                <w:sz w:val="20"/>
              </w:rPr>
            </w:pPr>
          </w:p>
          <w:p w14:paraId="687D5B81" w14:textId="77777777" w:rsidR="00093828" w:rsidRDefault="00093828" w:rsidP="00093828">
            <w:pPr>
              <w:pStyle w:val="TableParagraph"/>
              <w:ind w:left="0"/>
              <w:rPr>
                <w:color w:val="231F20"/>
                <w:sz w:val="20"/>
              </w:rPr>
            </w:pPr>
          </w:p>
          <w:p w14:paraId="2E894FD6" w14:textId="4F3612D5" w:rsidR="00F361FE" w:rsidRDefault="00F361FE" w:rsidP="00093828">
            <w:pPr>
              <w:pStyle w:val="TableParagraph"/>
              <w:ind w:left="0"/>
              <w:rPr>
                <w:color w:val="231F20"/>
                <w:sz w:val="20"/>
              </w:rPr>
            </w:pPr>
          </w:p>
        </w:tc>
      </w:tr>
      <w:tr w:rsidR="00093828" w14:paraId="1AC80DA8" w14:textId="77777777" w:rsidTr="00D17C88">
        <w:trPr>
          <w:trHeight w:val="349"/>
        </w:trPr>
        <w:tc>
          <w:tcPr>
            <w:tcW w:w="10630" w:type="dxa"/>
            <w:gridSpan w:val="2"/>
          </w:tcPr>
          <w:p w14:paraId="7F41EE41" w14:textId="77777777" w:rsidR="00093828" w:rsidRDefault="00093828">
            <w:pPr>
              <w:pStyle w:val="TableParagraph"/>
              <w:ind w:left="137"/>
              <w:rPr>
                <w:color w:val="231F20"/>
                <w:sz w:val="20"/>
              </w:rPr>
            </w:pPr>
            <w:r>
              <w:rPr>
                <w:color w:val="231F20"/>
                <w:sz w:val="20"/>
              </w:rPr>
              <w:t>Timeline of Activities:</w:t>
            </w:r>
          </w:p>
          <w:p w14:paraId="1F5E34F1" w14:textId="77777777" w:rsidR="00093828" w:rsidRDefault="00093828">
            <w:pPr>
              <w:pStyle w:val="TableParagraph"/>
              <w:ind w:left="137"/>
              <w:rPr>
                <w:color w:val="231F20"/>
                <w:sz w:val="20"/>
              </w:rPr>
            </w:pPr>
          </w:p>
          <w:p w14:paraId="7C21C8CE" w14:textId="77777777" w:rsidR="00093828" w:rsidRDefault="00093828">
            <w:pPr>
              <w:pStyle w:val="TableParagraph"/>
              <w:ind w:left="137"/>
              <w:rPr>
                <w:color w:val="231F20"/>
                <w:sz w:val="20"/>
              </w:rPr>
            </w:pPr>
          </w:p>
          <w:p w14:paraId="37217D13" w14:textId="77777777" w:rsidR="00093828" w:rsidRDefault="00093828">
            <w:pPr>
              <w:pStyle w:val="TableParagraph"/>
              <w:ind w:left="137"/>
              <w:rPr>
                <w:color w:val="231F20"/>
                <w:sz w:val="20"/>
              </w:rPr>
            </w:pPr>
          </w:p>
        </w:tc>
      </w:tr>
    </w:tbl>
    <w:p w14:paraId="4755DE80" w14:textId="77777777" w:rsidR="00093828" w:rsidRDefault="00093828">
      <w:pPr>
        <w:spacing w:before="11"/>
        <w:rPr>
          <w:sz w:val="16"/>
        </w:rPr>
      </w:pPr>
    </w:p>
    <w:p w14:paraId="4445ADAA" w14:textId="77777777" w:rsidR="00093828" w:rsidRDefault="00093828">
      <w:pPr>
        <w:spacing w:before="11"/>
        <w:rPr>
          <w:sz w:val="16"/>
        </w:rPr>
      </w:pPr>
    </w:p>
    <w:tbl>
      <w:tblPr>
        <w:tblW w:w="0" w:type="auto"/>
        <w:tblInd w:w="125" w:type="dxa"/>
        <w:tblBorders>
          <w:top w:val="single" w:sz="8" w:space="0" w:color="B0B8BB"/>
          <w:left w:val="single" w:sz="8" w:space="0" w:color="B0B8BB"/>
          <w:bottom w:val="single" w:sz="8" w:space="0" w:color="B0B8BB"/>
          <w:right w:val="single" w:sz="8" w:space="0" w:color="B0B8BB"/>
          <w:insideH w:val="single" w:sz="8" w:space="0" w:color="B0B8BB"/>
          <w:insideV w:val="single" w:sz="8" w:space="0" w:color="B0B8BB"/>
        </w:tblBorders>
        <w:tblLayout w:type="fixed"/>
        <w:tblCellMar>
          <w:left w:w="0" w:type="dxa"/>
          <w:right w:w="0" w:type="dxa"/>
        </w:tblCellMar>
        <w:tblLook w:val="01E0" w:firstRow="1" w:lastRow="1" w:firstColumn="1" w:lastColumn="1" w:noHBand="0" w:noVBand="0"/>
      </w:tblPr>
      <w:tblGrid>
        <w:gridCol w:w="5345"/>
        <w:gridCol w:w="5285"/>
      </w:tblGrid>
      <w:tr w:rsidR="00FF5402" w14:paraId="47AFF12B" w14:textId="77777777">
        <w:trPr>
          <w:trHeight w:val="525"/>
        </w:trPr>
        <w:tc>
          <w:tcPr>
            <w:tcW w:w="10630" w:type="dxa"/>
            <w:gridSpan w:val="2"/>
            <w:tcBorders>
              <w:top w:val="nil"/>
              <w:left w:val="nil"/>
              <w:right w:val="nil"/>
            </w:tcBorders>
            <w:shd w:val="clear" w:color="auto" w:fill="3E4F59"/>
          </w:tcPr>
          <w:p w14:paraId="40243271" w14:textId="77777777" w:rsidR="00FF5402" w:rsidRDefault="00F27DDB">
            <w:pPr>
              <w:pStyle w:val="TableParagraph"/>
              <w:spacing w:before="77"/>
              <w:ind w:left="217"/>
              <w:rPr>
                <w:b/>
                <w:sz w:val="30"/>
              </w:rPr>
            </w:pPr>
            <w:r>
              <w:rPr>
                <w:b/>
                <w:color w:val="FFFFFF"/>
                <w:sz w:val="30"/>
              </w:rPr>
              <w:t xml:space="preserve">ACTION PLAN </w:t>
            </w:r>
            <w:r w:rsidR="00093828">
              <w:rPr>
                <w:b/>
                <w:color w:val="FFFFFF"/>
                <w:sz w:val="30"/>
              </w:rPr>
              <w:t xml:space="preserve">PROPOSED </w:t>
            </w:r>
            <w:r>
              <w:rPr>
                <w:b/>
                <w:color w:val="FFFFFF"/>
                <w:sz w:val="30"/>
              </w:rPr>
              <w:t>IMPACT</w:t>
            </w:r>
          </w:p>
        </w:tc>
      </w:tr>
      <w:tr w:rsidR="00FF5402" w14:paraId="486FE564" w14:textId="77777777">
        <w:trPr>
          <w:trHeight w:val="349"/>
        </w:trPr>
        <w:tc>
          <w:tcPr>
            <w:tcW w:w="5345" w:type="dxa"/>
          </w:tcPr>
          <w:p w14:paraId="43C3C979" w14:textId="77777777" w:rsidR="00FF5402" w:rsidRDefault="00F27DDB">
            <w:pPr>
              <w:pStyle w:val="TableParagraph"/>
              <w:rPr>
                <w:sz w:val="20"/>
              </w:rPr>
            </w:pPr>
            <w:r>
              <w:rPr>
                <w:color w:val="231F20"/>
                <w:sz w:val="20"/>
              </w:rPr>
              <w:t># of Participants:</w:t>
            </w:r>
          </w:p>
        </w:tc>
        <w:tc>
          <w:tcPr>
            <w:tcW w:w="5285" w:type="dxa"/>
          </w:tcPr>
          <w:p w14:paraId="49151267" w14:textId="77777777" w:rsidR="00FF5402" w:rsidRDefault="00F27DDB">
            <w:pPr>
              <w:pStyle w:val="TableParagraph"/>
              <w:rPr>
                <w:sz w:val="20"/>
              </w:rPr>
            </w:pPr>
            <w:r>
              <w:rPr>
                <w:color w:val="231F20"/>
                <w:sz w:val="20"/>
              </w:rPr>
              <w:t># of Volunteers:</w:t>
            </w:r>
          </w:p>
        </w:tc>
      </w:tr>
      <w:tr w:rsidR="00FF5402" w14:paraId="72F1BCF5" w14:textId="77777777">
        <w:trPr>
          <w:trHeight w:val="349"/>
        </w:trPr>
        <w:tc>
          <w:tcPr>
            <w:tcW w:w="5345" w:type="dxa"/>
          </w:tcPr>
          <w:p w14:paraId="07BFFD5B" w14:textId="77777777" w:rsidR="00FF5402" w:rsidRDefault="00F27DDB">
            <w:pPr>
              <w:pStyle w:val="TableParagraph"/>
              <w:rPr>
                <w:sz w:val="20"/>
              </w:rPr>
            </w:pPr>
            <w:r>
              <w:rPr>
                <w:color w:val="231F20"/>
                <w:sz w:val="20"/>
              </w:rPr>
              <w:t># of faculty/staff/admin:</w:t>
            </w:r>
          </w:p>
        </w:tc>
        <w:tc>
          <w:tcPr>
            <w:tcW w:w="5285" w:type="dxa"/>
          </w:tcPr>
          <w:p w14:paraId="6B673F3B" w14:textId="77777777" w:rsidR="00FF5402" w:rsidRDefault="00F27DDB">
            <w:pPr>
              <w:pStyle w:val="TableParagraph"/>
              <w:rPr>
                <w:sz w:val="20"/>
              </w:rPr>
            </w:pPr>
            <w:r>
              <w:rPr>
                <w:color w:val="231F20"/>
                <w:sz w:val="20"/>
              </w:rPr>
              <w:t>Dates/Duration:</w:t>
            </w:r>
          </w:p>
        </w:tc>
      </w:tr>
      <w:tr w:rsidR="00FF5402" w14:paraId="29DBA2B9" w14:textId="77777777">
        <w:trPr>
          <w:trHeight w:val="349"/>
        </w:trPr>
        <w:tc>
          <w:tcPr>
            <w:tcW w:w="5345" w:type="dxa"/>
          </w:tcPr>
          <w:p w14:paraId="3EEAED07" w14:textId="77777777" w:rsidR="00FF5402" w:rsidRDefault="00F27DDB">
            <w:pPr>
              <w:pStyle w:val="TableParagraph"/>
              <w:rPr>
                <w:sz w:val="20"/>
              </w:rPr>
            </w:pPr>
            <w:r>
              <w:rPr>
                <w:color w:val="231F20"/>
                <w:sz w:val="20"/>
              </w:rPr>
              <w:t>Type of activity:</w:t>
            </w:r>
          </w:p>
        </w:tc>
        <w:tc>
          <w:tcPr>
            <w:tcW w:w="5285" w:type="dxa"/>
          </w:tcPr>
          <w:p w14:paraId="55940048" w14:textId="77777777" w:rsidR="00FF5402" w:rsidRDefault="00F27DDB">
            <w:pPr>
              <w:pStyle w:val="TableParagraph"/>
              <w:rPr>
                <w:sz w:val="20"/>
              </w:rPr>
            </w:pPr>
            <w:r>
              <w:rPr>
                <w:color w:val="231F20"/>
                <w:sz w:val="20"/>
              </w:rPr>
              <w:t>Partners involved:</w:t>
            </w:r>
          </w:p>
        </w:tc>
      </w:tr>
      <w:tr w:rsidR="00FF5402" w14:paraId="6B05D6A1" w14:textId="77777777">
        <w:trPr>
          <w:trHeight w:val="1428"/>
        </w:trPr>
        <w:tc>
          <w:tcPr>
            <w:tcW w:w="10630" w:type="dxa"/>
            <w:gridSpan w:val="2"/>
          </w:tcPr>
          <w:p w14:paraId="26B25423" w14:textId="6F18A18A" w:rsidR="00093828" w:rsidRDefault="00D97306" w:rsidP="00D97306">
            <w:pPr>
              <w:pStyle w:val="TableParagraph"/>
              <w:spacing w:before="39" w:line="235" w:lineRule="auto"/>
              <w:ind w:left="0" w:right="8697"/>
              <w:rPr>
                <w:color w:val="231F20"/>
                <w:sz w:val="20"/>
              </w:rPr>
            </w:pPr>
            <w:r>
              <w:rPr>
                <w:color w:val="231F20"/>
                <w:sz w:val="20"/>
              </w:rPr>
              <w:t xml:space="preserve">  Notes/Status:</w:t>
            </w:r>
          </w:p>
          <w:p w14:paraId="22527D9C" w14:textId="77777777" w:rsidR="00093828" w:rsidRDefault="00093828">
            <w:pPr>
              <w:pStyle w:val="TableParagraph"/>
              <w:spacing w:before="39" w:line="235" w:lineRule="auto"/>
              <w:ind w:right="8697"/>
              <w:rPr>
                <w:color w:val="231F20"/>
                <w:sz w:val="20"/>
              </w:rPr>
            </w:pPr>
          </w:p>
          <w:p w14:paraId="51A99AAB" w14:textId="77777777" w:rsidR="00093828" w:rsidRDefault="00093828">
            <w:pPr>
              <w:pStyle w:val="TableParagraph"/>
              <w:spacing w:before="39" w:line="235" w:lineRule="auto"/>
              <w:ind w:right="8697"/>
              <w:rPr>
                <w:color w:val="231F20"/>
                <w:sz w:val="20"/>
              </w:rPr>
            </w:pPr>
          </w:p>
          <w:p w14:paraId="7B639655" w14:textId="77777777" w:rsidR="00093828" w:rsidRDefault="00093828">
            <w:pPr>
              <w:pStyle w:val="TableParagraph"/>
              <w:spacing w:before="39" w:line="235" w:lineRule="auto"/>
              <w:ind w:right="8697"/>
              <w:rPr>
                <w:sz w:val="20"/>
              </w:rPr>
            </w:pPr>
          </w:p>
          <w:p w14:paraId="155B127B" w14:textId="77777777" w:rsidR="00D97306" w:rsidRDefault="00D97306">
            <w:pPr>
              <w:pStyle w:val="TableParagraph"/>
              <w:spacing w:before="39" w:line="235" w:lineRule="auto"/>
              <w:ind w:right="8697"/>
              <w:rPr>
                <w:sz w:val="20"/>
              </w:rPr>
            </w:pPr>
          </w:p>
          <w:p w14:paraId="63E7D6B2" w14:textId="77777777" w:rsidR="00D97306" w:rsidRDefault="00D97306" w:rsidP="00CB401E">
            <w:pPr>
              <w:pStyle w:val="TableParagraph"/>
              <w:spacing w:before="39" w:line="235" w:lineRule="auto"/>
              <w:ind w:left="0" w:right="8697"/>
              <w:rPr>
                <w:sz w:val="20"/>
              </w:rPr>
            </w:pPr>
          </w:p>
          <w:p w14:paraId="729F7985" w14:textId="42702929" w:rsidR="00D97306" w:rsidRDefault="00D97306">
            <w:pPr>
              <w:pStyle w:val="TableParagraph"/>
              <w:spacing w:before="39" w:line="235" w:lineRule="auto"/>
              <w:ind w:right="8697"/>
              <w:rPr>
                <w:sz w:val="20"/>
              </w:rPr>
            </w:pPr>
          </w:p>
        </w:tc>
      </w:tr>
    </w:tbl>
    <w:p w14:paraId="7B0AB627" w14:textId="77777777" w:rsidR="00F27DDB" w:rsidRDefault="00F27DDB"/>
    <w:sectPr w:rsidR="00F27DDB">
      <w:footerReference w:type="default" r:id="rId7"/>
      <w:type w:val="continuous"/>
      <w:pgSz w:w="12240" w:h="15840"/>
      <w:pgMar w:top="580" w:right="68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8C60B" w14:textId="77777777" w:rsidR="00541FD5" w:rsidRDefault="00541FD5" w:rsidP="00CB401E">
      <w:r>
        <w:separator/>
      </w:r>
    </w:p>
  </w:endnote>
  <w:endnote w:type="continuationSeparator" w:id="0">
    <w:p w14:paraId="1DDCC736" w14:textId="77777777" w:rsidR="00541FD5" w:rsidRDefault="00541FD5" w:rsidP="00CB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0F206" w14:textId="5E36A284" w:rsidR="00CB401E" w:rsidRDefault="00541FD5">
    <w:pPr>
      <w:pStyle w:val="Footer"/>
    </w:pPr>
    <w:hyperlink r:id="rId1" w:history="1">
      <w:r w:rsidR="00CB401E" w:rsidRPr="00D62B1A">
        <w:rPr>
          <w:rStyle w:val="Hyperlink"/>
        </w:rPr>
        <w:t>contact@athletesforhope.org</w:t>
      </w:r>
    </w:hyperlink>
    <w:r w:rsidR="00CB401E">
      <w:tab/>
      <w:t xml:space="preserve">       </w:t>
    </w:r>
    <w:r w:rsidR="00F361FE">
      <w:t xml:space="preserve">    </w:t>
    </w:r>
    <w:r w:rsidR="00CB401E">
      <w:t xml:space="preserve"> </w:t>
    </w:r>
    <w:hyperlink r:id="rId2" w:history="1">
      <w:r w:rsidR="00CB401E" w:rsidRPr="00D62B1A">
        <w:rPr>
          <w:rStyle w:val="Hyperlink"/>
        </w:rPr>
        <w:t>www.athletesforhope.org</w:t>
      </w:r>
    </w:hyperlink>
    <w:r w:rsidR="00F361FE">
      <w:t xml:space="preserve">                    @athletesforhope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30AB2" w14:textId="77777777" w:rsidR="00541FD5" w:rsidRDefault="00541FD5" w:rsidP="00CB401E">
      <w:r>
        <w:separator/>
      </w:r>
    </w:p>
  </w:footnote>
  <w:footnote w:type="continuationSeparator" w:id="0">
    <w:p w14:paraId="4857DF46" w14:textId="77777777" w:rsidR="00541FD5" w:rsidRDefault="00541FD5" w:rsidP="00CB4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CF2EFE"/>
    <w:multiLevelType w:val="multilevel"/>
    <w:tmpl w:val="EA20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96DFA"/>
    <w:multiLevelType w:val="multilevel"/>
    <w:tmpl w:val="C6DC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02"/>
    <w:rsid w:val="00034805"/>
    <w:rsid w:val="00093828"/>
    <w:rsid w:val="00105911"/>
    <w:rsid w:val="001A616B"/>
    <w:rsid w:val="00375838"/>
    <w:rsid w:val="00485766"/>
    <w:rsid w:val="00541FD5"/>
    <w:rsid w:val="00557840"/>
    <w:rsid w:val="00573AB7"/>
    <w:rsid w:val="005A58A8"/>
    <w:rsid w:val="00835834"/>
    <w:rsid w:val="00943E17"/>
    <w:rsid w:val="00CB401E"/>
    <w:rsid w:val="00D97306"/>
    <w:rsid w:val="00ED250A"/>
    <w:rsid w:val="00F27DDB"/>
    <w:rsid w:val="00F361FE"/>
    <w:rsid w:val="00FD437E"/>
    <w:rsid w:val="00FF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21CC"/>
  <w15:docId w15:val="{EEC22ED7-EA36-4610-8876-CD169CA8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5"/>
      <w:ind w:left="138"/>
    </w:pPr>
  </w:style>
  <w:style w:type="paragraph" w:styleId="Header">
    <w:name w:val="header"/>
    <w:basedOn w:val="Normal"/>
    <w:link w:val="HeaderChar"/>
    <w:uiPriority w:val="99"/>
    <w:unhideWhenUsed/>
    <w:rsid w:val="00CB401E"/>
    <w:pPr>
      <w:tabs>
        <w:tab w:val="center" w:pos="4680"/>
        <w:tab w:val="right" w:pos="9360"/>
      </w:tabs>
    </w:pPr>
  </w:style>
  <w:style w:type="character" w:customStyle="1" w:styleId="HeaderChar">
    <w:name w:val="Header Char"/>
    <w:basedOn w:val="DefaultParagraphFont"/>
    <w:link w:val="Header"/>
    <w:uiPriority w:val="99"/>
    <w:rsid w:val="00CB401E"/>
    <w:rPr>
      <w:rFonts w:ascii="Century Gothic" w:eastAsia="Century Gothic" w:hAnsi="Century Gothic" w:cs="Century Gothic"/>
      <w:lang w:bidi="en-US"/>
    </w:rPr>
  </w:style>
  <w:style w:type="paragraph" w:styleId="Footer">
    <w:name w:val="footer"/>
    <w:basedOn w:val="Normal"/>
    <w:link w:val="FooterChar"/>
    <w:uiPriority w:val="99"/>
    <w:unhideWhenUsed/>
    <w:rsid w:val="00CB401E"/>
    <w:pPr>
      <w:tabs>
        <w:tab w:val="center" w:pos="4680"/>
        <w:tab w:val="right" w:pos="9360"/>
      </w:tabs>
    </w:pPr>
  </w:style>
  <w:style w:type="character" w:customStyle="1" w:styleId="FooterChar">
    <w:name w:val="Footer Char"/>
    <w:basedOn w:val="DefaultParagraphFont"/>
    <w:link w:val="Footer"/>
    <w:uiPriority w:val="99"/>
    <w:rsid w:val="00CB401E"/>
    <w:rPr>
      <w:rFonts w:ascii="Century Gothic" w:eastAsia="Century Gothic" w:hAnsi="Century Gothic" w:cs="Century Gothic"/>
      <w:lang w:bidi="en-US"/>
    </w:rPr>
  </w:style>
  <w:style w:type="character" w:styleId="Hyperlink">
    <w:name w:val="Hyperlink"/>
    <w:basedOn w:val="DefaultParagraphFont"/>
    <w:uiPriority w:val="99"/>
    <w:unhideWhenUsed/>
    <w:rsid w:val="00CB401E"/>
    <w:rPr>
      <w:color w:val="0000FF" w:themeColor="hyperlink"/>
      <w:u w:val="single"/>
    </w:rPr>
  </w:style>
  <w:style w:type="character" w:styleId="UnresolvedMention">
    <w:name w:val="Unresolved Mention"/>
    <w:basedOn w:val="DefaultParagraphFont"/>
    <w:uiPriority w:val="99"/>
    <w:semiHidden/>
    <w:unhideWhenUsed/>
    <w:rsid w:val="00CB4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963692">
      <w:bodyDiv w:val="1"/>
      <w:marLeft w:val="0"/>
      <w:marRight w:val="0"/>
      <w:marTop w:val="0"/>
      <w:marBottom w:val="0"/>
      <w:divBdr>
        <w:top w:val="none" w:sz="0" w:space="0" w:color="auto"/>
        <w:left w:val="none" w:sz="0" w:space="0" w:color="auto"/>
        <w:bottom w:val="none" w:sz="0" w:space="0" w:color="auto"/>
        <w:right w:val="none" w:sz="0" w:space="0" w:color="auto"/>
      </w:divBdr>
      <w:divsChild>
        <w:div w:id="1654792123">
          <w:marLeft w:val="0"/>
          <w:marRight w:val="0"/>
          <w:marTop w:val="0"/>
          <w:marBottom w:val="0"/>
          <w:divBdr>
            <w:top w:val="none" w:sz="0" w:space="0" w:color="auto"/>
            <w:left w:val="none" w:sz="0" w:space="0" w:color="auto"/>
            <w:bottom w:val="none" w:sz="0" w:space="0" w:color="auto"/>
            <w:right w:val="none" w:sz="0" w:space="0" w:color="auto"/>
          </w:divBdr>
        </w:div>
        <w:div w:id="15462866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thletesforhope.org" TargetMode="External"/><Relationship Id="rId1" Type="http://schemas.openxmlformats.org/officeDocument/2006/relationships/hyperlink" Target="mailto:contact@athletesforhop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2512</Characters>
  <Application>Microsoft Office Word</Application>
  <DocSecurity>0</DocSecurity>
  <Lines>40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Potts</dc:creator>
  <cp:lastModifiedBy>Malin, Patrick</cp:lastModifiedBy>
  <cp:revision>2</cp:revision>
  <dcterms:created xsi:type="dcterms:W3CDTF">2020-09-18T15:57:00Z</dcterms:created>
  <dcterms:modified xsi:type="dcterms:W3CDTF">2020-09-18T15:57:00Z</dcterms:modified>
</cp:coreProperties>
</file>